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RONPA0596ZPB</w:t>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Cheile Babei</w:t>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1973527108"/>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937234861"/>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645730524"/>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8,90</w:t>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17,35%</w:t>
      </w:r>
      <w:r>
        <w:rPr>
          <w:rtl w:val="0"/>
        </w:rPr>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9000.000000000002" w:type="dxa"/>
        <w:jc w:val="left"/>
        <w:tblLayout w:type="fixed"/>
        <w:tblLook w:val="0400"/>
      </w:tblPr>
      <w:tblGrid>
        <w:gridCol w:w="10"/>
        <w:gridCol w:w="3156"/>
        <w:gridCol w:w="445"/>
        <w:gridCol w:w="5377"/>
        <w:gridCol w:w="12"/>
      </w:tblGrid>
      <w:tr>
        <w:trPr>
          <w:cantSplit w:val="0"/>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c>
        <w:tc>
          <w:tcPr/>
          <w:p w:rsidR="00000000" w:rsidDel="00000000" w:rsidP="00000000" w:rsidRDefault="00000000" w:rsidRPr="00000000" w14:paraId="00000048">
            <w:pPr>
              <w:rPr/>
            </w:pPr>
            <w:r>
              <w:rPr>
                <w:sz w:val="22"/>
                <w:szCs w:val="22"/>
                <w:rtl w:val="0"/>
              </w:rPr>
              <w:t xml:space="preserve">NUTS</w:t>
            </w:r>
            <w:r>
              <w:rPr>
                <w:rtl w:val="0"/>
              </w:rPr>
            </w:r>
          </w:p>
        </w:tc>
        <w:tc>
          <w:tcPr/>
          <w:p w:rsidR="00000000" w:rsidDel="00000000" w:rsidP="00000000" w:rsidRDefault="00000000" w:rsidRPr="00000000" w14:paraId="00000049">
            <w:pPr>
              <w:rPr/>
            </w:pPr>
            <w:r>
              <w:rPr>
                <w:sz w:val="22"/>
                <w:szCs w:val="22"/>
                <w:rtl w:val="0"/>
              </w:rPr>
              <w:t xml:space="preserve"> </w:t>
            </w:r>
            <w:r>
              <w:rPr>
                <w:rtl w:val="0"/>
              </w:rPr>
            </w:r>
          </w:p>
        </w:tc>
        <w:tc>
          <w:tcPr/>
          <w:p w:rsidR="00000000" w:rsidDel="00000000" w:rsidP="00000000" w:rsidRDefault="00000000" w:rsidRPr="00000000" w14:paraId="0000004A">
            <w:pPr>
              <w:rPr/>
            </w:pPr>
            <w:r>
              <w:rPr>
                <w:sz w:val="22"/>
                <w:szCs w:val="22"/>
                <w:rtl w:val="0"/>
              </w:rPr>
              <w:t xml:space="preserve">Numele regiunii</w:t>
            </w:r>
            <w:r>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Pr>
                <w:sz w:val="22"/>
                <w:szCs w:val="22"/>
                <w:rtl w:val="0"/>
              </w:rPr>
              <w:t xml:space="preserve">RO11</w:t>
            </w:r>
            <w:r>
              <w:rPr>
                <w:rtl w:val="0"/>
              </w:rPr>
            </w:r>
          </w:p>
        </w:tc>
        <w:tc>
          <w:tcPr/>
          <w:p w:rsidR="00000000" w:rsidDel="00000000" w:rsidP="00000000" w:rsidRDefault="00000000" w:rsidRPr="00000000" w14:paraId="0000004D">
            <w:pPr>
              <w:rPr/>
            </w:pPr>
            <w:r>
              <w:rPr>
                <w:sz w:val="22"/>
                <w:szCs w:val="22"/>
                <w:rtl w:val="0"/>
              </w:rPr>
              <w:t xml:space="preserve"> </w:t>
            </w:r>
            <w:r>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Pr>
                <w:sz w:val="22"/>
                <w:szCs w:val="22"/>
                <w:rtl w:val="0"/>
              </w:rPr>
              <w:t xml:space="preserve">Nord-Vest</w:t>
            </w:r>
            <w:r>
              <w:rPr>
                <w:rtl w:val="0"/>
              </w:rPr>
            </w:r>
          </w:p>
        </w:tc>
      </w:tr>
    </w:tbl>
    <w:p w:rsidR="00000000" w:rsidDel="00000000" w:rsidP="00000000" w:rsidRDefault="00000000" w:rsidRPr="00000000" w14:paraId="00000050">
      <w:pPr>
        <w:rPr/>
      </w:pPr>
      <w:r>
        <w:rPr>
          <w:sz w:val="22"/>
          <w:szCs w:val="22"/>
          <w:rtl w:val="0"/>
        </w:rPr>
        <w:t xml:space="preserve">Numele Județului/Județelor</w:t>
      </w:r>
      <w:r>
        <w:rPr>
          <w:rtl w:val="0"/>
        </w:rPr>
      </w:r>
    </w:p>
    <w:p w:rsidR="00000000" w:rsidDel="00000000" w:rsidP="00000000" w:rsidRDefault="00000000" w:rsidRPr="00000000" w14:paraId="0000005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 Sălaj</w:t>
      </w:r>
      <w:r>
        <w:rPr>
          <w:rtl w:val="0"/>
        </w:rPr>
      </w:r>
    </w:p>
    <w:p w:rsidR="00000000" w:rsidDel="00000000" w:rsidP="00000000" w:rsidRDefault="00000000" w:rsidRPr="00000000" w14:paraId="00000052">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3">
            <w:pPr>
              <w:rPr/>
            </w:pPr>
            <w:sdt>
              <w:sdtPr>
                <w:id w:val="-14994960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sdt>
              <w:sdtPr>
                <w:id w:val="547238254"/>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48796758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8">
            <w:pPr>
              <w:rPr/>
            </w:pPr>
            <w:sdt>
              <w:sdtPr>
                <w:id w:val="473841385"/>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sdt>
              <w:sdtPr>
                <w:id w:val="-551840327"/>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sdt>
              <w:sdtPr>
                <w:id w:val="-372300730"/>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D">
      <w:pPr>
        <w:rPr/>
      </w:pPr>
      <w:r>
        <w:rPr>
          <w:rtl w:val="0"/>
        </w:rPr>
      </w:r>
    </w:p>
    <w:p w:rsidR="00000000" w:rsidDel="00000000" w:rsidP="00000000" w:rsidRDefault="00000000" w:rsidRPr="00000000" w14:paraId="0000005E">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F">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1">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2">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3">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5">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6">
      <w:pPr>
        <w:rPr/>
      </w:pPr>
      <w:r>
        <w:rPr>
          <w:sz w:val="22"/>
          <w:szCs w:val="22"/>
          <w:rtl w:val="0"/>
        </w:rPr>
        <w:t xml:space="preserve">Suprafața totală a ZPB (ha)</w:t>
      </w:r>
      <w:r>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8,90</w:t>
      </w:r>
    </w:p>
    <w:p w:rsidR="00000000" w:rsidDel="00000000" w:rsidP="00000000" w:rsidRDefault="00000000" w:rsidRPr="00000000" w14:paraId="00000068">
      <w:pPr>
        <w:rPr/>
      </w:pPr>
      <w:r>
        <w:rPr>
          <w:sz w:val="22"/>
          <w:szCs w:val="22"/>
          <w:rtl w:val="0"/>
        </w:rPr>
        <w:t xml:space="preserve">Documente relevante în raport cu ZPB</w:t>
      </w:r>
      <w:r>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RONPA0596 Cheile Babei.</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sz w:val="22"/>
          <w:szCs w:val="22"/>
        </w:rPr>
      </w:pPr>
      <w:r>
        <w:rPr>
          <w:rtl w:val="0"/>
        </w:rPr>
      </w:r>
    </w:p>
    <w:p w:rsidR="00000000" w:rsidDel="00000000" w:rsidP="00000000" w:rsidRDefault="00000000" w:rsidRPr="00000000" w14:paraId="0000006D">
      <w:pPr>
        <w:rPr>
          <w:sz w:val="22"/>
          <w:szCs w:val="22"/>
        </w:rPr>
      </w:pPr>
      <w:r>
        <w:rPr>
          <w:rtl w:val="0"/>
        </w:rPr>
      </w:r>
    </w:p>
    <w:p w:rsidR="00000000" w:rsidDel="00000000" w:rsidP="00000000" w:rsidRDefault="00000000" w:rsidRPr="00000000" w14:paraId="0000006E">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Habitate stâncoase și peșteri :</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8120 Grohotişuri calcaroase şi de şisturi calcaroase din etajul montan până în cel alpin (Thlaspietea rotundifolii)</w:t>
            </w:r>
          </w:p>
          <w:p w:rsidR="00000000" w:rsidDel="00000000" w:rsidP="00000000" w:rsidRDefault="00000000" w:rsidRPr="00000000" w14:paraId="00000074">
            <w:pPr>
              <w:spacing w:after="0" w:lineRule="auto"/>
              <w:rPr>
                <w:i w:val="1"/>
                <w:iCs w:val="1"/>
                <w:sz w:val="22"/>
                <w:szCs w:val="22"/>
              </w:rPr>
            </w:pPr>
            <w:r>
              <w:rPr>
                <w:i w:val="1"/>
                <w:iCs w:val="1"/>
                <w:sz w:val="22"/>
                <w:szCs w:val="22"/>
                <w:rtl w:val="0"/>
              </w:rPr>
              <w:t xml:space="preserve">8210 Versanţi stâncoşi calcaroşi cu vegetaţie casmofitică</w:t>
            </w:r>
          </w:p>
          <w:p w:rsidR="00000000" w:rsidDel="00000000" w:rsidP="00000000" w:rsidRDefault="00000000" w:rsidRPr="00000000" w14:paraId="00000075">
            <w:pPr>
              <w:spacing w:after="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6">
            <w:pPr>
              <w:spacing w:after="0" w:lineRule="auto"/>
              <w:rPr>
                <w:b w:val="1"/>
                <w:bCs w:val="1"/>
                <w:sz w:val="22"/>
                <w:szCs w:val="22"/>
              </w:rPr>
            </w:pPr>
            <w:r>
              <w:rPr>
                <w:i w:val="1"/>
                <w:iCs w:val="1"/>
                <w:sz w:val="22"/>
                <w:szCs w:val="22"/>
                <w:rtl w:val="0"/>
              </w:rPr>
              <w:t xml:space="preserve">9130 Păduri de fag de tip Asperulo-Fagetum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9">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A">
            <w:pPr>
              <w:spacing w:after="0" w:lineRule="auto"/>
              <w:rPr>
                <w:i w:val="1"/>
                <w:iCs w:val="1"/>
                <w:sz w:val="22"/>
                <w:szCs w:val="22"/>
              </w:rPr>
            </w:pPr>
            <w:r>
              <w:rPr>
                <w:i w:val="1"/>
                <w:iCs w:val="1"/>
                <w:sz w:val="22"/>
                <w:szCs w:val="22"/>
                <w:rtl w:val="0"/>
              </w:rPr>
              <w:t xml:space="preserve">1203 Hyla arborea</w:t>
            </w:r>
          </w:p>
          <w:p w:rsidR="00000000" w:rsidDel="00000000" w:rsidP="00000000" w:rsidRDefault="00000000" w:rsidRPr="00000000" w14:paraId="0000007B">
            <w:pPr>
              <w:spacing w:after="0" w:lineRule="auto"/>
              <w:rPr>
                <w:i w:val="1"/>
                <w:iCs w:val="1"/>
                <w:sz w:val="22"/>
                <w:szCs w:val="22"/>
              </w:rPr>
            </w:pPr>
            <w:r>
              <w:rPr>
                <w:i w:val="1"/>
                <w:iCs w:val="1"/>
                <w:sz w:val="22"/>
                <w:szCs w:val="22"/>
                <w:rtl w:val="0"/>
              </w:rPr>
              <w:t xml:space="preserve">1209 Rana dalmatina</w:t>
            </w:r>
          </w:p>
          <w:p w:rsidR="00000000" w:rsidDel="00000000" w:rsidP="00000000" w:rsidRDefault="00000000" w:rsidRPr="00000000" w14:paraId="0000007C">
            <w:pPr>
              <w:spacing w:after="0" w:lineRule="auto"/>
              <w:rPr>
                <w:i w:val="1"/>
                <w:iCs w:val="1"/>
                <w:sz w:val="22"/>
                <w:szCs w:val="22"/>
              </w:rPr>
            </w:pPr>
            <w:r>
              <w:rPr>
                <w:i w:val="1"/>
                <w:iCs w:val="1"/>
                <w:sz w:val="22"/>
                <w:szCs w:val="22"/>
                <w:rtl w:val="0"/>
              </w:rPr>
              <w:t xml:space="preserve">2351 Salamandra salamandra</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2361 Bufo bufo</w:t>
            </w:r>
          </w:p>
          <w:p w:rsidR="00000000" w:rsidDel="00000000" w:rsidP="00000000" w:rsidRDefault="00000000" w:rsidRPr="00000000" w14:paraId="0000007E">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F">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1263 Lacerta viridis</w:t>
            </w:r>
          </w:p>
          <w:p w:rsidR="00000000" w:rsidDel="00000000" w:rsidP="00000000" w:rsidRDefault="00000000" w:rsidRPr="00000000" w14:paraId="00000081">
            <w:pPr>
              <w:spacing w:after="0" w:lineRule="auto"/>
              <w:rPr>
                <w:i w:val="1"/>
                <w:iCs w:val="1"/>
                <w:sz w:val="22"/>
                <w:szCs w:val="22"/>
              </w:rPr>
            </w:pPr>
            <w:r>
              <w:rPr>
                <w:i w:val="1"/>
                <w:iCs w:val="1"/>
                <w:sz w:val="22"/>
                <w:szCs w:val="22"/>
                <w:rtl w:val="0"/>
              </w:rPr>
              <w:t xml:space="preserve">1283 Coronella austriaca</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2432 Anguis fragilis</w:t>
            </w:r>
          </w:p>
          <w:p w:rsidR="00000000" w:rsidDel="00000000" w:rsidP="00000000" w:rsidRDefault="00000000" w:rsidRPr="00000000" w14:paraId="00000083">
            <w:pPr>
              <w:spacing w:after="0" w:lineRule="auto"/>
              <w:rPr>
                <w:b w:val="1"/>
                <w:bCs w:val="1"/>
                <w:sz w:val="22"/>
                <w:szCs w:val="22"/>
              </w:rPr>
            </w:pPr>
            <w:r>
              <w:rPr>
                <w:i w:val="1"/>
                <w:iCs w:val="1"/>
                <w:sz w:val="22"/>
                <w:szCs w:val="22"/>
                <w:rtl w:val="0"/>
              </w:rPr>
              <w:t xml:space="preserve">2469 Natrix natrix</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Pr>
                <w:sz w:val="22"/>
                <w:szCs w:val="22"/>
                <w:rtl w:val="0"/>
              </w:rPr>
              <w:t xml:space="preserve">Zonă de managemnet activ care prezinta rezervație naturală, habitate stâncoase și peșteri, habitate de păduri temperate europene precum și specii de amfibieni și reptile de interes comunitar.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Pr>
                <w:sz w:val="22"/>
                <w:szCs w:val="22"/>
                <w:rtl w:val="0"/>
              </w:rPr>
              <w:t xml:space="preserve">C01.07 Minerit și activități de extragere la care nu se referă mai sus</w:t>
            </w:r>
          </w:p>
          <w:p w:rsidR="00000000" w:rsidDel="00000000" w:rsidP="00000000" w:rsidRDefault="00000000" w:rsidRPr="00000000" w14:paraId="00000088">
            <w:pPr>
              <w:rPr>
                <w:sz w:val="22"/>
                <w:szCs w:val="22"/>
              </w:rPr>
            </w:pPr>
            <w:r>
              <w:rPr>
                <w:sz w:val="22"/>
                <w:szCs w:val="22"/>
                <w:rtl w:val="0"/>
              </w:rPr>
              <w:t xml:space="preserve">J03.02 Reducerea conectivității de habitat, din cauze antropice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line="276" w:lineRule="auto"/>
              <w:jc w:val="both"/>
              <w:rPr>
                <w:b w:val="1"/>
                <w:bCs w:val="1"/>
                <w:sz w:val="22"/>
                <w:szCs w:val="22"/>
              </w:rPr>
            </w:pPr>
            <w:r>
              <w:rPr>
                <w:b w:val="1"/>
                <w:bCs w:val="1"/>
                <w:sz w:val="22"/>
                <w:szCs w:val="22"/>
                <w:rtl w:val="0"/>
              </w:rPr>
              <w:t xml:space="preserve">Obiective și măsuri de management activ pentru ecosistemele de grohotișuri</w:t>
            </w:r>
          </w:p>
          <w:p w:rsidR="00000000" w:rsidDel="00000000" w:rsidP="00000000" w:rsidRDefault="00000000" w:rsidRPr="00000000" w14:paraId="0000008B">
            <w:pPr>
              <w:spacing w:line="276"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C">
            <w:pPr>
              <w:spacing w:line="276" w:lineRule="auto"/>
              <w:jc w:val="both"/>
              <w:rPr>
                <w:sz w:val="22"/>
                <w:szCs w:val="22"/>
              </w:rPr>
            </w:pPr>
            <w:r>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8D">
            <w:pPr>
              <w:spacing w:line="276"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8E">
            <w:pPr>
              <w:spacing w:line="276" w:lineRule="auto"/>
              <w:jc w:val="both"/>
              <w:rPr>
                <w:sz w:val="22"/>
                <w:szCs w:val="22"/>
              </w:rPr>
            </w:pPr>
            <w:r>
              <w:rPr>
                <w:sz w:val="22"/>
                <w:szCs w:val="22"/>
                <w:rtl w:val="0"/>
              </w:rPr>
              <w:t xml:space="preserve">1. Conservarea vegetației specifice și a speciilor rare asociate stâncăriilor și grohotișurilor.</w:t>
            </w:r>
          </w:p>
          <w:p w:rsidR="00000000" w:rsidDel="00000000" w:rsidP="00000000" w:rsidRDefault="00000000" w:rsidRPr="00000000" w14:paraId="0000008F">
            <w:pPr>
              <w:spacing w:line="276" w:lineRule="auto"/>
              <w:jc w:val="both"/>
              <w:rPr>
                <w:sz w:val="22"/>
                <w:szCs w:val="22"/>
              </w:rPr>
            </w:pPr>
            <w:r>
              <w:rPr>
                <w:sz w:val="22"/>
                <w:szCs w:val="22"/>
                <w:rtl w:val="0"/>
              </w:rPr>
              <w:t xml:space="preserve">2. Reducerea presiunilor antropice (turism intens, trasee erodate, escaladă necontrolată).</w:t>
            </w:r>
          </w:p>
          <w:p w:rsidR="00000000" w:rsidDel="00000000" w:rsidP="00000000" w:rsidRDefault="00000000" w:rsidRPr="00000000" w14:paraId="00000090">
            <w:pPr>
              <w:spacing w:line="276" w:lineRule="auto"/>
              <w:jc w:val="both"/>
              <w:rPr>
                <w:sz w:val="22"/>
                <w:szCs w:val="22"/>
              </w:rPr>
            </w:pPr>
            <w:r>
              <w:rPr>
                <w:sz w:val="22"/>
                <w:szCs w:val="22"/>
                <w:rtl w:val="0"/>
              </w:rPr>
              <w:t xml:space="preserve">3. Controlul speciilor invazive și refacerea sectoarelor degradate prin măsuri cu impact minim.</w:t>
            </w:r>
          </w:p>
          <w:p w:rsidR="00000000" w:rsidDel="00000000" w:rsidP="00000000" w:rsidRDefault="00000000" w:rsidRPr="00000000" w14:paraId="00000091">
            <w:pPr>
              <w:spacing w:line="276" w:lineRule="auto"/>
              <w:jc w:val="both"/>
              <w:rPr>
                <w:sz w:val="22"/>
                <w:szCs w:val="22"/>
              </w:rPr>
            </w:pPr>
            <w:r>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092">
            <w:pPr>
              <w:spacing w:line="276" w:lineRule="auto"/>
              <w:jc w:val="both"/>
              <w:rPr>
                <w:sz w:val="22"/>
                <w:szCs w:val="22"/>
              </w:rPr>
            </w:pPr>
            <w:r>
              <w:rPr>
                <w:sz w:val="22"/>
                <w:szCs w:val="22"/>
                <w:rtl w:val="0"/>
              </w:rPr>
              <w:t xml:space="preserve">5. Monitorizarea efectelor managementului și adaptarea măsurilor.</w:t>
            </w:r>
          </w:p>
          <w:p w:rsidR="00000000" w:rsidDel="00000000" w:rsidP="00000000" w:rsidRDefault="00000000" w:rsidRPr="00000000" w14:paraId="00000093">
            <w:pPr>
              <w:spacing w:line="276"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94">
            <w:pPr>
              <w:spacing w:line="276" w:lineRule="auto"/>
              <w:jc w:val="both"/>
              <w:rPr>
                <w:sz w:val="22"/>
                <w:szCs w:val="22"/>
              </w:rPr>
            </w:pPr>
            <w:r>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95">
            <w:pPr>
              <w:spacing w:line="276" w:lineRule="auto"/>
              <w:jc w:val="both"/>
              <w:rPr>
                <w:sz w:val="22"/>
                <w:szCs w:val="22"/>
              </w:rPr>
            </w:pPr>
            <w:r>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096">
            <w:pPr>
              <w:spacing w:line="276" w:lineRule="auto"/>
              <w:jc w:val="both"/>
              <w:rPr>
                <w:sz w:val="22"/>
                <w:szCs w:val="22"/>
              </w:rPr>
            </w:pPr>
            <w:r>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97">
            <w:pPr>
              <w:spacing w:line="276" w:lineRule="auto"/>
              <w:jc w:val="both"/>
              <w:rPr>
                <w:sz w:val="22"/>
                <w:szCs w:val="22"/>
              </w:rPr>
            </w:pPr>
            <w:r>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098">
            <w:pPr>
              <w:spacing w:line="276" w:lineRule="auto"/>
              <w:jc w:val="both"/>
              <w:rPr>
                <w:sz w:val="22"/>
                <w:szCs w:val="22"/>
              </w:rPr>
            </w:pPr>
            <w:r>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99">
            <w:pPr>
              <w:spacing w:line="276" w:lineRule="auto"/>
              <w:jc w:val="both"/>
              <w:rPr>
                <w:sz w:val="22"/>
                <w:szCs w:val="22"/>
              </w:rPr>
            </w:pPr>
            <w:r>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9A">
            <w:pPr>
              <w:spacing w:line="276" w:lineRule="auto"/>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9B">
            <w:pPr>
              <w:spacing w:line="276"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9C">
            <w:pPr>
              <w:spacing w:line="276"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D">
            <w:pPr>
              <w:spacing w:line="276"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E">
            <w:pPr>
              <w:spacing w:line="276"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9F">
            <w:pPr>
              <w:spacing w:line="276"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0">
            <w:pPr>
              <w:spacing w:line="276"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1">
            <w:pPr>
              <w:spacing w:line="276"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A2">
            <w:pPr>
              <w:spacing w:line="276"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A3">
            <w:pPr>
              <w:spacing w:line="276"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A4">
            <w:pPr>
              <w:spacing w:line="276"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A5">
            <w:pPr>
              <w:spacing w:line="276"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6">
            <w:pPr>
              <w:spacing w:line="276"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7">
            <w:pPr>
              <w:spacing w:line="276"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8">
            <w:pPr>
              <w:spacing w:line="276"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9">
            <w:pPr>
              <w:spacing w:line="276"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A">
            <w:pPr>
              <w:spacing w:line="276"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B">
            <w:pPr>
              <w:spacing w:line="276"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C">
            <w:pPr>
              <w:spacing w:line="276"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D">
            <w:pPr>
              <w:spacing w:line="276"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E">
            <w:pPr>
              <w:spacing w:line="276"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F">
            <w:pPr>
              <w:spacing w:line="276"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0">
            <w:pPr>
              <w:spacing w:line="276"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1">
            <w:pPr>
              <w:spacing w:line="276"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2">
            <w:pPr>
              <w:spacing w:line="276"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3">
            <w:pPr>
              <w:spacing w:line="276"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4">
            <w:pPr>
              <w:spacing w:line="276"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5">
            <w:pPr>
              <w:spacing w:line="276"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6">
            <w:pPr>
              <w:spacing w:line="276"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6">
            <w:pPr>
              <w:spacing w:line="276"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sz w:val="22"/>
                <w:szCs w:val="22"/>
              </w:rPr>
            </w:pPr>
            <w:r>
              <w:rPr>
                <w:sz w:val="22"/>
                <w:szCs w:val="22"/>
                <w:rtl w:val="0"/>
              </w:rPr>
              <w:t xml:space="preserve">Publică</w:t>
            </w:r>
          </w:p>
        </w:tc>
      </w:tr>
    </w:tbl>
    <w:p w:rsidR="00000000" w:rsidDel="00000000" w:rsidP="00000000" w:rsidRDefault="00000000" w:rsidRPr="00000000" w14:paraId="000000B9">
      <w:pPr>
        <w:rPr/>
      </w:pPr>
      <w:r>
        <w:rPr>
          <w:rtl w:val="0"/>
        </w:rPr>
      </w:r>
    </w:p>
    <w:p w:rsidR="00000000" w:rsidDel="00000000" w:rsidP="00000000" w:rsidRDefault="00000000" w:rsidRPr="00000000" w14:paraId="000000BA">
      <w:pPr>
        <w:rPr/>
      </w:pPr>
      <w:r>
        <w:rPr>
          <w:b w:val="1"/>
          <w:bCs w:val="1"/>
          <w:sz w:val="22"/>
          <w:szCs w:val="22"/>
          <w:rtl w:val="0"/>
        </w:rPr>
        <w:t xml:space="preserve">3.3. Bibliografie </w:t>
      </w:r>
      <w:r>
        <w:rPr>
          <w:rtl w:val="0"/>
        </w:rPr>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 “Stațiuni forestiere”, Vol. II, Ed. Academiei R.S.R., București</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 Ecologie forestieră (cu elemente de ecologie generală), Ed. Ceres</w:t>
      </w:r>
    </w:p>
    <w:p w:rsidR="00000000" w:rsidDel="00000000" w:rsidP="00000000" w:rsidRDefault="00000000" w:rsidRPr="00000000" w14:paraId="000000B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Popescu A., Pauca-Comanescu M., Mihailescu S., Biris I. 2005 - “Habitatele din Romania”, Ed. Tehnicã Silvicã, București </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Formularul standard pentru caracterizarea ariei protejate Cheile Babei</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C2">
      <w:pPr>
        <w:rPr/>
      </w:pPr>
      <w:r>
        <w:rPr>
          <w:rtl w:val="0"/>
        </w:rPr>
      </w:r>
    </w:p>
    <w:p w:rsidR="00000000" w:rsidDel="00000000" w:rsidP="00000000" w:rsidRDefault="00000000" w:rsidRPr="00000000" w14:paraId="000000C3">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C4">
      <w:pPr>
        <w:rPr/>
      </w:pPr>
      <w:r>
        <w:rPr>
          <w:sz w:val="22"/>
          <w:szCs w:val="22"/>
          <w:rtl w:val="0"/>
        </w:rPr>
        <w:t xml:space="preserve">Detalii privind consultările publice realizate:</w:t>
      </w:r>
      <w:r>
        <w:rPr>
          <w:rtl w:val="0"/>
        </w:rPr>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8jqvexbcmid"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5 septembrie 2024 – Baia Mare, jud. Maramureș</w:t>
        <w:br w:type="textWrapping"/>
        <w:t xml:space="preserve">19 iunie 2025 – online, jud. Sălaj</w:t>
        <w:br w:type="textWrapping"/>
        <w:t xml:space="preserve">24 iunie 2025 – corespondență DS Maramureș </w:t>
        <w:br w:type="textWrapping"/>
        <w:t xml:space="preserve">2025 – corespondență electronică DS Sălaj</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9-10 februarie 2026 - consultare Prefectură Maramures</w:t>
      </w:r>
    </w:p>
    <w:p w:rsidR="00000000" w:rsidDel="00000000" w:rsidP="00000000" w:rsidRDefault="00000000" w:rsidRPr="00000000" w14:paraId="000000C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februarie 2026 - consultare Prefectură Salaj</w:t>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10 decembrie 2025 și 30 ianuarie 2026, cu participarea reprezentanților unităților administrativ-teritoriale, ai prefecturilor și/sau ai altor instituții relevante, după caz.</w:t>
      </w:r>
    </w:p>
    <w:p w:rsidR="00000000" w:rsidDel="00000000" w:rsidP="00000000" w:rsidRDefault="00000000" w:rsidRPr="00000000" w14:paraId="000000C9">
      <w:pPr>
        <w:rPr/>
      </w:pPr>
      <w:r>
        <w:rPr>
          <w:rtl w:val="0"/>
        </w:rPr>
      </w:r>
    </w:p>
    <w:p w:rsidR="00000000" w:rsidDel="00000000" w:rsidP="00000000" w:rsidRDefault="00000000" w:rsidRPr="00000000" w14:paraId="000000CA">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CB">
      <w:pPr>
        <w:jc w:val="both"/>
        <w:rPr>
          <w:sz w:val="22"/>
          <w:szCs w:val="22"/>
        </w:rPr>
      </w:pPr>
      <w:bookmarkStart w:colFirst="0" w:colLast="0" w:name="_heading=h.y06yxg4i28uv" w:id="1"/>
      <w:bookmarkEnd w:id="1"/>
      <w:r>
        <w:rPr>
          <w:sz w:val="22"/>
          <w:szCs w:val="22"/>
          <w:rtl w:val="0"/>
        </w:rPr>
        <w:t xml:space="preserve">Limitele Zonelor Prioritare pentru Biodiversitate sunt disponibile în format digital pe website-ul MMAP, accesând link-ul: </w:t>
      </w:r>
      <w:hyperlink r:id="rId7">
        <w:r>
          <w:rPr>
            <w:color w:val="0563c1"/>
            <w:sz w:val="22"/>
            <w:szCs w:val="22"/>
            <w:u w:val="single"/>
            <w:rtl w:val="0"/>
          </w:rPr>
          <w:t xml:space="preserve">https://mmediu.ro/domenii/mediu/arii-naturale-protejate/zpb-pnrr-i-3/</w:t>
        </w:r>
      </w:hyperlink>
      <w:r>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994smpEmMv2G+3kBtXv8Mx2rL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jhqcXZleGJjbWlkMg5oLnkwNnl4ZzRpMjh1djgAakoKNnN1Z2dlc3RJZEltcG9ydGU4NGZiY2Q5LTMwNzktNDk0OS05MDM5LTg3MzI3YjU0ZjdlY18yMhIQQWxleGFuZHJhIFN0b2ljYWpKCjZzdWdnZXN0SWRJbXBvcnRlODRmYmNkOS0zMDc5LTQ5NDktOTAzOS04NzMyN2I1NGY3ZWNfMTYSEEFsZXhhbmRyYSBTdG9pY2FqSgo2c3VnZ2VzdElkSW1wb3J0ZTg0ZmJjZDktMzA3OS00OTQ5LTkwMzktODczMjdiNTRmN2VjXzI3EhBBbGV4YW5kcmEgU3RvaWNhakkKNXN1Z2dlc3RJZEltcG9ydGU4NGZiY2Q5LTMwNzktNDk0OS05MDM5LTg3MzI3YjU0ZjdlY185EhBBbGV4YW5kcmEgU3RvaWNhakoKNnN1Z2dlc3RJZEltcG9ydGU4NGZiY2Q5LTMwNzktNDk0OS05MDM5LTg3MzI3YjU0ZjdlY18yMRIQQWxleGFuZHJhIFN0b2ljYWpKCjZzdWdnZXN0SWRJbXBvcnRlODRmYmNkOS0zMDc5LTQ5NDktOTAzOS04NzMyN2I1NGY3ZWNfNDUSEEFsZXhhbmRyYSBTdG9pY2FqSQo1c3VnZ2VzdElkSW1wb3J0ZTg0ZmJjZDktMzA3OS00OTQ5LTkwMzktODczMjdiNTRmN2VjXzISEEFsZXhhbmRyYSBTdG9pY2FqSgo2c3VnZ2VzdElkSW1wb3J0ZTg0ZmJjZDktMzA3OS00OTQ5LTkwMzktODczMjdiNTRmN2VjXzM2EhBBbGV4YW5kcmEgU3RvaWNhakoKNnN1Z2dlc3RJZEltcG9ydGU4NGZiY2Q5LTMwNzktNDk0OS05MDM5LTg3MzI3YjU0ZjdlY18zNBIQQWxleGFuZHJhIFN0b2ljYWpKCjZzdWdnZXN0SWRJbXBvcnRlODRmYmNkOS0zMDc5LTQ5NDktOTAzOS04NzMyN2I1NGY3ZWNfMjgSEEFsZXhhbmRyYSBTdG9pY2FqSgo2c3VnZ2VzdElkSW1wb3J0ZTg0ZmJjZDktMzA3OS00OTQ5LTkwMzktODczMjdiNTRmN2VjXzIzEhBBbGV4YW5kcmEgU3RvaWNhakoKNnN1Z2dlc3RJZEltcG9ydGU4NGZiY2Q5LTMwNzktNDk0OS05MDM5LTg3MzI3YjU0ZjdlY180NhIQQWxleGFuZHJhIFN0b2ljYWpKCjZzdWdnZXN0SWRJbXBvcnRlODRmYmNkOS0zMDc5LTQ5NDktOTAzOS04NzMyN2I1NGY3ZWNfMzkSEEFsZXhhbmRyYSBTdG9pY2FqSQo1c3VnZ2VzdElkSW1wb3J0ZTg0ZmJjZDktMzA3OS00OTQ5LTkwMzktODczMjdiNTRmN2VjXzMSEEFsZXhhbmRyYSBTdG9pY2FqSgo2c3VnZ2VzdElkSW1wb3J0ZTg0ZmJjZDktMzA3OS00OTQ5LTkwMzktODczMjdiNTRmN2VjXzM4EhBBbGV4YW5kcmEgU3RvaWNhakoKNnN1Z2dlc3RJZEltcG9ydGU4NGZiY2Q5LTMwNzktNDk0OS05MDM5LTg3MzI3YjU0ZjdlY18xNBIQQWxleGFuZHJhIFN0b2ljYWpKCjZzdWdnZXN0SWRJbXBvcnRlODRmYmNkOS0zMDc5LTQ5NDktOTAzOS04NzMyN2I1NGY3ZWNfMTUSEEFsZXhhbmRyYSBTdG9pY2FqSgo2c3VnZ2VzdElkSW1wb3J0ZTg0ZmJjZDktMzA3OS00OTQ5LTkwMzktODczMjdiNTRmN2VjXzI1EhBBbGV4YW5kcmEgU3RvaWNhakoKNnN1Z2dlc3RJZEltcG9ydGU4NGZiY2Q5LTMwNzktNDk0OS05MDM5LTg3MzI3YjU0ZjdlY18xMhIQQWxleGFuZHJhIFN0b2ljYWpJCjVzdWdnZXN0SWRJbXBvcnRlODRmYmNkOS0zMDc5LTQ5NDktOTAzOS04NzMyN2I1NGY3ZWNfNhIQQWxleGFuZHJhIFN0b2ljYWpKCjZzdWdnZXN0SWRJbXBvcnRlODRmYmNkOS0zMDc5LTQ5NDktOTAzOS04NzMyN2I1NGY3ZWNfNDMSEEFsZXhhbmRyYSBTdG9pY2FqSgo2c3VnZ2VzdElkSW1wb3J0ZTg0ZmJjZDktMzA3OS00OTQ5LTkwMzktODczMjdiNTRmN2VjXzEzEhBBbGV4YW5kcmEgU3RvaWNhakoKNnN1Z2dlc3RJZEltcG9ydGU4NGZiY2Q5LTMwNzktNDk0OS05MDM5LTg3MzI3YjU0ZjdlY180MhIQQWxleGFuZHJhIFN0b2ljYWpKCjZzdWdnZXN0SWRJbXBvcnRlODRmYmNkOS0zMDc5LTQ5NDktOTAzOS04NzMyN2I1NGY3ZWNfMzASEEFsZXhhbmRyYSBTdG9pY2FqSgo2c3VnZ2VzdElkSW1wb3J0ZTg0ZmJjZDktMzA3OS00OTQ5LTkwMzktODczMjdiNTRmN2VjXzI5EhBBbGV4YW5kcmEgU3RvaWNhakoKNnN1Z2dlc3RJZEltcG9ydGU4NGZiY2Q5LTMwNzktNDk0OS05MDM5LTg3MzI3YjU0ZjdlY18zMRIQQWxleGFuZHJhIFN0b2ljYWpKCjZzdWdnZXN0SWRJbXBvcnRlODRmYmNkOS0zMDc5LTQ5NDktOTAzOS04NzMyN2I1NGY3ZWNfMjASEEFsZXhhbmRyYSBTdG9pY2FqSgo2c3VnZ2VzdElkSW1wb3J0ZTg0ZmJjZDktMzA3OS00OTQ5LTkwMzktODczMjdiNTRmN2VjXzE3EhBBbGV4YW5kcmEgU3RvaWNhakoKNnN1Z2dlc3RJZEltcG9ydGU4NGZiY2Q5LTMwNzktNDk0OS05MDM5LTg3MzI3YjU0ZjdlY18zNxIQQWxleGFuZHJhIFN0b2ljYWpJCjVzdWdnZXN0SWRJbXBvcnRlODRmYmNkOS0zMDc5LTQ5NDktOTAzOS04NzMyN2I1NGY3ZWNfNRIQQWxleGFuZHJhIFN0b2ljYWpKCjZzdWdnZXN0SWRJbXBvcnRlODRmYmNkOS0zMDc5LTQ5NDktOTAzOS04NzMyN2I1NGY3ZWNfMTASEEFsZXhhbmRyYSBTdG9pY2FqSgo2c3VnZ2VzdElkSW1wb3J0ZTg0ZmJjZDktMzA3OS00OTQ5LTkwMzktODczMjdiNTRmN2VjXzE5EhBBbGV4YW5kcmEgU3RvaWNhakkKNXN1Z2dlc3RJZEltcG9ydGU4NGZiY2Q5LTMwNzktNDk0OS05MDM5LTg3MzI3YjU0ZjdlY18xEhBBbGV4YW5kcmEgU3RvaWNhakoKNnN1Z2dlc3RJZEltcG9ydGU4NGZiY2Q5LTMwNzktNDk0OS05MDM5LTg3MzI3YjU0ZjdlY18yNBIQQWxleGFuZHJhIFN0b2ljYWpKCjZzdWdnZXN0SWRJbXBvcnRlODRmYmNkOS0zMDc5LTQ5NDktOTAzOS04NzMyN2I1NGY3ZWNfNDESEEFsZXhhbmRyYSBTdG9pY2FqSgo2c3VnZ2VzdElkSW1wb3J0ZTg0ZmJjZDktMzA3OS00OTQ5LTkwMzktODczMjdiNTRmN2VjXzE4EhBBbGV4YW5kcmEgU3RvaWNhakoKNnN1Z2dlc3RJZEltcG9ydGU4NGZiY2Q5LTMwNzktNDk0OS05MDM5LTg3MzI3YjU0ZjdlY18yNhIQQWxleGFuZHJhIFN0b2ljYWpKCjZzdWdnZXN0SWRJbXBvcnRlODRmYmNkOS0zMDc5LTQ5NDktOTAzOS04NzMyN2I1NGY3ZWNfNDASEEFsZXhhbmRyYSBTdG9pY2FqSQo1c3VnZ2VzdElkSW1wb3J0ZTg0ZmJjZDktMzA3OS00OTQ5LTkwMzktODczMjdiNTRmN2VjXzcSEEFsZXhhbmRyYSBTdG9pY2FqSgo2c3VnZ2VzdElkSW1wb3J0ZTg0ZmJjZDktMzA3OS00OTQ5LTkwMzktODczMjdiNTRmN2VjXzQ0EhBBbGV4YW5kcmEgU3RvaWNhakoKNnN1Z2dlc3RJZEltcG9ydGU4NGZiY2Q5LTMwNzktNDk0OS05MDM5LTg3MzI3YjU0ZjdlY18zMxIQQWxleGFuZHJhIFN0b2ljYWpJCjVzdWdnZXN0SWRJbXBvcnRlODRmYmNkOS0zMDc5LTQ5NDktOTAzOS04NzMyN2I1NGY3ZWNfNBIQQWxleGFuZHJhIFN0b2ljYWpJCjVzdWdnZXN0SWRJbXBvcnRlODRmYmNkOS0zMDc5LTQ5NDktOTAzOS04NzMyN2I1NGY3ZWNfOBIQQWxleGFuZHJhIFN0b2ljYWpKCjZzdWdnZXN0SWRJbXBvcnRlODRmYmNkOS0zMDc5LTQ5NDktOTAzOS04NzMyN2I1NGY3ZWNfMTESEEFsZXhhbmRyYSBTdG9pY2FqSgo2c3VnZ2VzdElkSW1wb3J0ZTg0ZmJjZDktMzA3OS00OTQ5LTkwMzktODczMjdiNTRmN2VjXzM1EhBBbGV4YW5kcmEgU3RvaWNhakoKNnN1Z2dlc3RJZEltcG9ydGU4NGZiY2Q5LTMwNzktNDk0OS05MDM5LTg3MzI3YjU0ZjdlY18zMhIQQWxleGFuZHJhIFN0b2ljYXIhMTN1Y1VrUDdhWmhmYzV4ZlNySmFZanhQbUpPb3VJaG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